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RELATÓRIO DO CONTROLE INTERNO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PERÍODO MENSAL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Piedade de Ponte Nova - </w:t>
      </w:r>
      <w:r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  <w:t xml:space="preserve">Dezembro 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  <w:t>3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Índice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Apresentação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Cumprimentos das Metas do Plano Plurianual e da LDO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Gestão Orçamentária, Financeira e Patrimonial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Despesa Total com Pessoal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Destinações dos Recursos da Alienação de Ativos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Repasse de Recursos ao Poder Legislativo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 Danos Causados ao Erário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Das Licitações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Arquivo e Demais Procedimentos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Ouvidoria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Controle de Frotas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Controle de Almoxarifado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Apoio ao Órgão de Controle Externo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Conclusão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– Apresentação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Documento que registra as atividades do órgão de controle interno da Câmara Municipal de Piedade de Ponte Nova/MG, segundo exigências da Instrução Normativa Nº 008/2003, alterada pela Instrução Normativa 006/2004 do Tribunal de Contas do Estado de Minas Gerais, artigos 75 a 80, da Lei Federal 4.320/64, artigo 74 da Constituição Federal,  da Lei Orgânica do Município e Leis  Municipais.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360" w:lineRule="auto"/>
        <w:jc w:val="both"/>
        <w:rPr>
          <w:rFonts w:ascii="Helvetica" w:hAnsi="Helvetica" w:cs="Helvetica"/>
          <w:color w:val="40404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Os Membros do Controle Interno foram nomeados pela Portaria nº 06, de 0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Março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. Abaixo apresentamos o relatório mensal de controle interno do mês de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Dezembro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com emissão de termos de recomendação e orientação, bem como providências legais visando os princípios da constitucionalidade, legalidade e moralidade na administração pública.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Neste documento registram-se as atividades do órgão como análise de documentos de Notas de Empenhos, legislação municipal, emissão de relatórios de despesas com pessoal, patrimônio, licitações, contratos, emitindo recomendações e verificações de dados relevantes considerados no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Novembro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inclusive com relatórios encaminhados aos setores.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responsáveis pelo controle Interno são: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3"/>
        <w:tblW w:w="8647" w:type="dxa"/>
        <w:tblInd w:w="105" w:type="dxa"/>
        <w:tblLayout w:type="fixed"/>
        <w:tblCellMar>
          <w:top w:w="0" w:type="dxa"/>
          <w:left w:w="105" w:type="dxa"/>
          <w:bottom w:w="0" w:type="dxa"/>
          <w:right w:w="105" w:type="dxa"/>
        </w:tblCellMar>
      </w:tblPr>
      <w:tblGrid>
        <w:gridCol w:w="5730"/>
        <w:gridCol w:w="2917"/>
      </w:tblGrid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CCCCC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 do Servidor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CCCCC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Cargo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Anderson Gonçalves Fernandes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Controlador Interno 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rPr>
          <w:trHeight w:val="255" w:hRule="atLeast"/>
        </w:trPr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  <w:t xml:space="preserve">Catarina Brangione Lana 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Membro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  <w:t xml:space="preserve">Thaiz Cristina Faria 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Membro</w:t>
            </w:r>
          </w:p>
        </w:tc>
      </w:tr>
    </w:tbl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2 - Cumprimentos das Metas do Plano Plurianual e da LDO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 – Normas do Cumprimento das Metas Fiscais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Plano Plurianual de Investimentos em vigor, instituído para o período 2022-2025,  foram fixadas as metas e prioridades quanto aos investimentos e manutenção a serem realizados pelo Câmara Municipal de Piedade de Ponte Nova, com recursos públicos.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 Lei de Diretrizes Orçamentárias em vigor, que fixa os nortes gerais a serem observados na elaboração do Orçamento Programa, constituindo no detalhamento das receitas e despesas para o exercício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e prioridades e metas da administração, estando legalmente acompanhado pelo Anexo legal de metas e prioridades, Anexo de Metas Fiscais e Anexo de Riscos Fiscais. A legislação dispõe ainda sob a trajetória financeira da administração municipal, conforme discriminado no Anexo de Metas Fiscais constante desta Lei, inovando quanto às normas relativas de controle de custos e avaliações dos resultados dos Programas Financiados com recursos dos Orçamentos.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Lei Orçamentária Municipal nº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67 de 22 de Novembro de 2022</w:t>
      </w:r>
      <w:r>
        <w:rPr>
          <w:rFonts w:ascii="Times New Roman" w:hAnsi="Times New Roman" w:cs="Times New Roman"/>
          <w:sz w:val="24"/>
          <w:szCs w:val="24"/>
        </w:rPr>
        <w:t>, aprova o orçamento municipal estimando a receita  e fixando a despesa em igual valor, dispondo ainda sobre a suplementação de dotações orçamentárias até o limite de 30% (trinta por cento), bem como anular parcial ou totalmente dotações orçamentárias, conforme disposto no inciso III, § 1º do art. 43 da Lei Federal 4.320/64; utilizar o excesso de arrecadação na forma do § 3º da Lei Federal 4.320/64; utilizar recursos e operações de créditos na forma do inciso IV do § 1º do artigo 43 da Lei Federal  4.320/64.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Lei Orçamentária Municipal nº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67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Novembro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2</w:t>
      </w:r>
      <w:r>
        <w:rPr>
          <w:rFonts w:ascii="Times New Roman" w:hAnsi="Times New Roman" w:cs="Times New Roman"/>
          <w:sz w:val="24"/>
          <w:szCs w:val="24"/>
        </w:rPr>
        <w:t>, demonstra o planejamento do município dentro dos princípios legais, distribuindo com equilíbrio as despesas entre os seus diversos programas e atividades, contemplando constitucionalmente os valores discriminados.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 não poderia ser de outro modo, as ações do Governo Municipal baseiam-se no mencionado Plano Plurianual, nas diretrizes fixadas na Lei de Diretrizes Orçamentárias e nos limites e autorizações constantes do Orçamento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assim, a ação do Governo Municipal em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tem procurado alcançar os resultados e metas previstos, tanto no Plano Plurianual de Investimentos como na Lei de Diretrizes Orçamentárias.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3 - Da Gestão Orçamentária, Financeira e Patrimonial</w:t>
      </w:r>
    </w:p>
    <w:p>
      <w:pPr>
        <w:tabs>
          <w:tab w:val="center" w:pos="4252"/>
          <w:tab w:val="right" w:pos="8504"/>
        </w:tabs>
        <w:spacing w:after="0" w:line="240" w:lineRule="auto"/>
        <w:rPr>
          <w:rFonts w:ascii="Bodoni MT" w:hAnsi="Bodoni MT" w:eastAsia="Times New Roman"/>
          <w:b/>
          <w:smallCaps/>
          <w:sz w:val="24"/>
          <w:szCs w:val="24"/>
        </w:rPr>
      </w:pPr>
      <w:r>
        <w:rPr>
          <w:rFonts w:ascii="Bodoni MT" w:hAnsi="Bodoni MT" w:eastAsia="Times New Roman"/>
          <w:b/>
          <w:smallCaps/>
          <w:sz w:val="24"/>
          <w:szCs w:val="24"/>
        </w:rPr>
        <w:t xml:space="preserve">                              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competênci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 xml:space="preserve"> Dezembro</w:t>
      </w:r>
      <w:r>
        <w:rPr>
          <w:rFonts w:ascii="Times New Roman" w:hAnsi="Times New Roman" w:cs="Times New Roman"/>
          <w:b/>
          <w:bCs/>
          <w:sz w:val="24"/>
          <w:szCs w:val="24"/>
        </w:rPr>
        <w:t>/202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 duodécimo entregue à Câmara Municipal totalizou o montante de </w:t>
      </w:r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>R$</w:t>
      </w:r>
      <w:r>
        <w:rPr>
          <w:rFonts w:hint="default" w:ascii="Open Sans" w:hAnsi="Open Sans" w:cs="Open Sans"/>
          <w:color w:val="333333"/>
          <w:sz w:val="21"/>
          <w:szCs w:val="21"/>
          <w:shd w:val="clear" w:color="auto" w:fill="FFFFFF"/>
          <w:lang w:val="pt-BR"/>
        </w:rPr>
        <w:t>100.650,000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cem mil seissentos e cinquenta reais</w:t>
      </w:r>
      <w:r>
        <w:rPr>
          <w:rFonts w:ascii="Times New Roman" w:hAnsi="Times New Roman" w:cs="Times New Roman"/>
          <w:sz w:val="24"/>
          <w:szCs w:val="24"/>
        </w:rPr>
        <w:t>), estando conforme a Lei Orçamentária e os percentuais constitucionais e legais dos repasses ao Poder Legislativo Municipal.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Encontra-se disponibilizado para consulta no site do portal da transparência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>(</w:t>
      </w:r>
      <w:r>
        <w:rPr>
          <w:rFonts w:hint="default" w:ascii="Times New Roman" w:hAnsi="Times New Roman"/>
          <w:b/>
          <w:bCs/>
          <w:sz w:val="18"/>
          <w:szCs w:val="18"/>
          <w:lang w:val="pt-BR"/>
        </w:rPr>
        <w:t xml:space="preserve">http://www.transparenciafacil.com.br/despesas/0192501) 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os dados referentes as despesas do Legislativo Municipal em 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 xml:space="preserve">Dezembro </w:t>
      </w:r>
      <w:r>
        <w:rPr>
          <w:rFonts w:ascii="Times New Roman" w:hAnsi="Times New Roman" w:cs="Times New Roman"/>
          <w:b/>
          <w:bCs/>
          <w:sz w:val="18"/>
          <w:szCs w:val="18"/>
        </w:rPr>
        <w:t>/202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>3</w:t>
      </w:r>
      <w:r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2707005"/>
            <wp:effectExtent l="0" t="0" r="11430" b="5715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</w:p>
    <w:p>
      <w:pPr>
        <w:widowControl w:val="0"/>
        <w:tabs>
          <w:tab w:val="left" w:pos="50"/>
          <w:tab w:val="right" w:pos="4460"/>
          <w:tab w:val="right" w:pos="5765"/>
          <w:tab w:val="left" w:pos="5885"/>
          <w:tab w:val="right" w:pos="10055"/>
          <w:tab w:val="right" w:pos="11360"/>
        </w:tabs>
        <w:autoSpaceDE w:val="0"/>
        <w:autoSpaceDN w:val="0"/>
        <w:adjustRightInd w:val="0"/>
        <w:spacing w:before="53" w:after="0" w:line="240" w:lineRule="auto"/>
        <w:rPr>
          <w:rFonts w:ascii="@Arial Unicode MS" w:eastAsia="@Arial Unicode MS" w:cs="@Arial Unicode MS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3.3 – Dos Bens e da Movimentação Patrimonial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aos bens patrimoniais constatamos que a Câmara Municipal de Piedade de Ponte Nova tem inventário geral que é realizado pelo sistema informatizado, com servidor responsável que registra a entrada pelo custo histórico, havendo relação de bens móveis, imóveis, já estando sua atualização em curso, mantendo-se os bens patrimoniais etiquetados com numeração controlada. A movimentação patrimonial é feita pelo sistema próprio, ligado a contabilização da entrada e saída de bens, feita em sistema informatizado próprio e setor responsável, estando a Câmara Municipal ciente das implantação das novas regras contábeis que envolvem a movimentação patrimonial, com foco na contabilidade patrimonial.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3.4 – Da Arrecadação das receitas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3.4.1 – Demonstração das Receitas Arrecadadas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às receitas, a que se analisar que contabilmente esta é uma atribuição do Município, através do órgão 02 – Executivo Municipal, não sendo competência desta entidade o aspecto de ente arrecadador, sendo sua competência legislativa e fiscalizadora quanto as ações efetivas do Município em arrecadar suas receitas constitucionais e legais, além do controle externo.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Constata-se que o sistema contábil foi eficiente na arrecadação de receitas extraorçamentárias de sua responsabilidade, conforme publicação (</w:t>
      </w:r>
      <w:r>
        <w:rPr>
          <w:rFonts w:hint="default" w:ascii="Times New Roman" w:hAnsi="Times New Roman"/>
          <w:sz w:val="24"/>
          <w:szCs w:val="24"/>
        </w:rPr>
        <w:t>http://www.transparenciafacil.com.br/receitas-extras/0192501#openfilter</w:t>
      </w:r>
      <w:r>
        <w:rPr>
          <w:rFonts w:ascii="Times New Roman" w:hAnsi="Times New Roman" w:cs="Times New Roman"/>
          <w:sz w:val="24"/>
          <w:szCs w:val="24"/>
        </w:rPr>
        <w:t>)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4 - Da Despesa Total com Pessoal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4.1 – Despesas com Pessoal de Acordo com o Tribunal de Contas do Estado de Minas Gerais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</w:rPr>
        <w:t>Demonstramos na tabela abaixo os gastos com pessoal de acordo com as normas do Tribunal de contas do Estado de Minas Gerais, acumulados no exercício, já empenhados e liquidadas na competência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 xml:space="preserve"> DEZEMBRO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de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2023.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8770" cy="3036570"/>
            <wp:effectExtent l="0" t="0" r="11430" b="1143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/>
          <w:lang w:val="pt-BR"/>
        </w:rPr>
      </w:pPr>
    </w:p>
    <w:p>
      <w:pPr>
        <w:autoSpaceDE w:val="0"/>
        <w:autoSpaceDN w:val="0"/>
        <w:adjustRightInd w:val="0"/>
        <w:spacing w:after="0" w:line="360" w:lineRule="auto"/>
        <w:jc w:val="both"/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/>
        </w:rPr>
      </w:pPr>
    </w:p>
    <w:p>
      <w:pPr>
        <w:autoSpaceDE w:val="0"/>
        <w:autoSpaceDN w:val="0"/>
        <w:adjustRightInd w:val="0"/>
        <w:spacing w:after="0" w:line="360" w:lineRule="auto"/>
        <w:jc w:val="both"/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5 - Destinações dos Recursos da Alienação de Ativos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Não ocorreu  alienação de ativos sem alteração na competência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NOVEMBRO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widowControl w:val="0"/>
        <w:tabs>
          <w:tab w:val="right" w:pos="11315"/>
        </w:tabs>
        <w:autoSpaceDE w:val="0"/>
        <w:autoSpaceDN w:val="0"/>
        <w:adjustRightInd w:val="0"/>
        <w:spacing w:after="0" w:line="240" w:lineRule="auto"/>
        <w:rPr>
          <w:rFonts w:ascii="Arial" w:hAnsi="Arial" w:eastAsia="@Arial Unicode MS" w:cs="Arial"/>
          <w:b/>
          <w:bCs/>
          <w:sz w:val="2"/>
          <w:szCs w:val="2"/>
        </w:rPr>
      </w:pPr>
      <w:r>
        <w:rPr>
          <w:rFonts w:ascii="@Arial Unicode MS" w:eastAsia="@Arial Unicode MS" w:cs="@Arial Unicode MS"/>
          <w:sz w:val="24"/>
          <w:szCs w:val="24"/>
        </w:rPr>
        <w:tab/>
      </w:r>
      <w:r>
        <w:rPr>
          <w:rFonts w:ascii="Arial" w:hAnsi="Arial" w:eastAsia="@Arial Unicode MS" w:cs="Arial"/>
          <w:b/>
          <w:bCs/>
          <w:sz w:val="14"/>
          <w:szCs w:val="14"/>
        </w:rPr>
        <w:t>17 nov 2014 08:47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 – Do Repasse de Recursos ao Poder Legislativo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valor a ser repassado ao Poder Legislativo encontra-se devidamente contabilizado:</w:t>
      </w:r>
    </w:p>
    <w:tbl>
      <w:tblPr>
        <w:tblStyle w:val="3"/>
        <w:tblW w:w="9630" w:type="dxa"/>
        <w:tblInd w:w="1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shd w:val="clear" w:color="auto" w:fill="D8D8D8" w:themeFill="background1" w:themeFillShade="D9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210"/>
        <w:gridCol w:w="3210"/>
        <w:gridCol w:w="321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shd w:val="clear" w:color="auto" w:fill="D8D8D8" w:themeFill="background1" w:themeFillShade="D9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630" w:type="dxa"/>
            <w:gridSpan w:val="3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RECURSOS CONSIGNADOS PARA A CÂMARA MUNICIPAL - 10/2014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shd w:val="clear" w:color="auto" w:fill="D8D8D8" w:themeFill="background1" w:themeFillShade="D9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Recurso Autorizado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Valor do Repasse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Arrecadação Municipal Exercício Anterior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shd w:val="clear" w:color="auto" w:fill="D8D8D8" w:themeFill="background1" w:themeFillShade="D9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  <w:t>100.650,00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  <w:t>100.650,00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72.783,40</w:t>
            </w:r>
          </w:p>
        </w:tc>
      </w:tr>
    </w:tbl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4"/>
          <w:szCs w:val="1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07 – Dos Danos Causados ao Erário</w:t>
      </w: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mês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DEZEMBRO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não se registram eventos danosos ao Erário ou ao patrimônio municipal que justificassem a abertura de sindicância ou promoção de ações judiciais.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08 – Das Licitações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processos licitatórios são devidamente formalizados pelo setor de compras, nesta fase de implantação do controle interno foi observado que os empenhos trazem a numeração do respectivo processo, com melhoria nos históricos em seu detalhamento.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constatado pelo controle interno que o setor implantou um controle de protocolo sobre saída de processos já nos arquivos para cópia e/ou exames por parte de outros setores.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</w:rPr>
        <w:t xml:space="preserve">Na competência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DEZEMBRO  de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, a entidade promoveu a realização dos seguintes certames e respectivos contratos, disponibilizados para consulta pública conforme pode-se comprovar abaixo pelo documento retira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do de :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 w:cs="Times New Roman"/>
          <w:sz w:val="24"/>
          <w:szCs w:val="24"/>
          <w:lang w:val="pt-BR"/>
        </w:rPr>
      </w:pPr>
      <w:r>
        <w:rPr>
          <w:rFonts w:hint="default" w:ascii="Times New Roman" w:hAnsi="Times New Roman"/>
          <w:sz w:val="24"/>
          <w:szCs w:val="24"/>
          <w:lang w:val="pt-BR"/>
        </w:rPr>
        <w:t>http://www.transparenciafacil.com.br/contratos/0192501#openfilter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/>
          <w:sz w:val="24"/>
          <w:szCs w:val="24"/>
          <w:lang w:val="pt-BR"/>
        </w:rPr>
      </w:pPr>
      <w:r>
        <w:drawing>
          <wp:inline distT="0" distB="0" distL="114300" distR="114300">
            <wp:extent cx="5398770" cy="3036570"/>
            <wp:effectExtent l="0" t="0" r="11430" b="1143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 w:cs="Times New Roman"/>
          <w:sz w:val="24"/>
          <w:szCs w:val="24"/>
          <w:lang w:val="pt-BR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 – Do Arquivo e Demais Procedimentos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09.1 – Do Arquivo da Contabilidade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arquivo da contabilidade constatamos que os documentos abaixo se encontram devidamente arquivados, devendo ser observado o preenchimento de todos os campos e respectivas assinaturas: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Notas de empenhos e respectivos comprovantes relativas às despesas, sendo orientado ao setor que registre em protocolos quaisquer saídas de documentos para outros setores.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Notas de empenhos e respectivos comprovantes relativas às despesas com diárias  conforme orientação do  TCE-MG;</w:t>
      </w:r>
    </w:p>
    <w:p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Abertura de decretos de créditos suplementares e especiais não ocorreram no 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DEZEMBRO 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Balancetes de Receitas e Despesas do mês de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DEZEMBRO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devidamente arquivadas após conferências e assinaturas.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09.2 – Do Arquivo da Tesouraria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Quanto a Tesouraria do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DEZEMBRO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, encontra devidamente estruturada, inclusive com apontamentos manuais e informatizados. Os relatórios legais são disponibilizados pelo sistema informatizado atendendo as necessidades dos serviços de forma diária e consolidada mensalmente.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09.3 – Do Arquivo do Departamento de Pessoal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departamento de pessoal constatamos que os seguintes arquivos: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Relatório da folha de pagamento do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DEZEMBRO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Relatório da SEFIP enviada ao Ministério da Previdência;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Relação dos descontos de empréstimos como comprovante da guia de recolhimento;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Contratos firmados com numeração e arquivados em pasta própria;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Confirmada a existência de diárias devidamente contabilizadas com relatórios e legislação própria.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contratações temporárias não ocorrem na entidade, sendo seu quadro permanente composto de servidores comissionados e cedidos pela administração municipal.Quanto ao cadastro do servidor existem dados adicionais devendo o setor de pessoal manter as atualizações.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09.4 – Do Arquivo e Procedimentos do Setor de Tributação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setor de tributação constatamos que a unidade não possui esta necessidade por não realizar rotina de tributação, porém o sistema contábil realiza de forma mensal o recolhimento de tributos tais como Imposto de Renda Retido na Fonte, disponibilizando o numerário para a Prefeitura Municipal de Piedade de Ponte Nova/MG, e sendo de sua rotina a guarda dos valores até o repasse para este órgão.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 – Da Ouvidoria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Cumprindo determinação legal e mais uma vez abrir um canal de comunicação, entre o cidadão e a Câmara Municipal, foi criada o canal de Ouvidoria no site da Câmara, para que todos possam, elogiar, reclamar , denunciar e sugerir ações. Este importante canal se encontra disponível no site da Câmara Municipal para que todos possam acessa-lo. hps://piedadedepontenova.mg.leg.br /ouvidoria, sendo que no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DEZEMBRO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não teve nenhum acesso.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 – Controle de Frotas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</w:rPr>
        <w:t>Quanto a frota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do legislativo </w:t>
      </w:r>
      <w:r>
        <w:rPr>
          <w:rFonts w:ascii="Times New Roman" w:hAnsi="Times New Roman" w:cs="Times New Roman"/>
          <w:sz w:val="24"/>
          <w:szCs w:val="24"/>
        </w:rPr>
        <w:t xml:space="preserve"> municipal constatamos que existe informatizado o controle de frotas,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não </w:t>
      </w:r>
      <w:r>
        <w:rPr>
          <w:rFonts w:ascii="Times New Roman" w:hAnsi="Times New Roman" w:cs="Times New Roman"/>
          <w:sz w:val="24"/>
          <w:szCs w:val="24"/>
        </w:rPr>
        <w:t xml:space="preserve">havendo relação de veículo devidamente atualizada e emitida junto ao SICOM/TCEMG,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pois o legislativo não possui veiculo.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12 - Controle de Almoxarifado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controle de almoxarifado existe um controle manual de entrada e saída de materiais já realizado por esta entidade, colaborando o controle sistemático do sistema de contabilidade e tesouraria implantado junto a empresa Plano Informática Ltda de forma a melhorar o sistema de controle de entrada e saída.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13 – Do Apoio ao Órgão de Controle Externo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Sabe-se que uma das atribuições do órgão de controle interno é o apoio ao controle externo na sua missão institucional. Neste sentido, foram encaminhados todos os relatórios de remessa obrigatória, nos prazos e condições fixados nas instruções normativas deste Tribunal de Contas.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14 – Conclusão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da análise procedida, o Controle Interno atuou, especialmente na análise das seguintes situações: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das situações de enquadramento dos servidores municipais cedidos ou nomeados no período;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existência de controle de ponto diário dos servidores;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existência de rotina contábil, rotina de tesouraria e administrativa da Câmara Municipal;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legalidade dos procedimentos envolvendo pagamentos e entrada de recursos públicos;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Aspectos de economicidade, transparência envolvendo a aplicação dos recursos públicos;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Análise das contratações realizadas no período, verificando seu enquadramento na Lei de Licitações, Lei de Transparência e outros aspectos constitucionais como interesse público e necessidade; 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Averiguação da documentação contábil especialmente Notas Fiscais e Balancetes da Receita e Despesa.</w:t>
      </w:r>
    </w:p>
    <w:p>
      <w:pPr>
        <w:pStyle w:val="14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 mais para o momento encerramos nossos trabalhos de acordo com a documentação apresentada.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Câmara Municipal de Piedade de Ponte Nova,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30 de DEZEMBRO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Responsáveis do Controle Interno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17"/>
      </w:pPr>
    </w:p>
    <w:p>
      <w:pPr>
        <w:pStyle w:val="17"/>
      </w:pPr>
    </w:p>
    <w:p>
      <w:pPr>
        <w:pStyle w:val="17"/>
      </w:pPr>
      <w:r>
        <w:t>Anderson Gonçalves Fernandes</w:t>
      </w:r>
    </w:p>
    <w:p>
      <w:pPr>
        <w:pStyle w:val="17"/>
      </w:pPr>
      <w:r>
        <w:t>Controlador Interno</w:t>
      </w: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  <w:r>
        <w:t>Sônia Souza dos Passos</w:t>
      </w:r>
    </w:p>
    <w:p>
      <w:pPr>
        <w:pStyle w:val="17"/>
      </w:pPr>
      <w:r>
        <w:t>Membro</w:t>
      </w: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  <w:rPr>
          <w:rFonts w:hint="default"/>
          <w:lang w:val="pt-BR"/>
        </w:rPr>
      </w:pPr>
      <w:r>
        <w:rPr>
          <w:rFonts w:hint="default"/>
          <w:lang w:val="pt-BR"/>
        </w:rPr>
        <w:t xml:space="preserve">Thaiz Cristina Faria </w:t>
      </w:r>
    </w:p>
    <w:p>
      <w:pPr>
        <w:pStyle w:val="17"/>
      </w:pPr>
      <w:r>
        <w:t>Membro</w:t>
      </w:r>
    </w:p>
    <w:p/>
    <w:p/>
    <w:p/>
    <w:p/>
    <w:p/>
    <w:p/>
    <w:sectPr>
      <w:headerReference r:id="rId5" w:type="default"/>
      <w:pgSz w:w="11906" w:h="16838"/>
      <w:pgMar w:top="1417" w:right="1701" w:bottom="1417" w:left="1701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Bodoni MT">
    <w:panose1 w:val="02070603080606020203"/>
    <w:charset w:val="00"/>
    <w:family w:val="roman"/>
    <w:pitch w:val="default"/>
    <w:sig w:usb0="00000003" w:usb1="00000000" w:usb2="00000000" w:usb3="00000000" w:csb0="20000001" w:csb1="00000000"/>
  </w:font>
  <w:font w:name="Open Sans">
    <w:altName w:val="Times New Roman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@Arial Unicode MS">
    <w:altName w:val="@MS PGothic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@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252"/>
        <w:tab w:val="right" w:pos="8504"/>
      </w:tabs>
      <w:spacing w:after="0" w:line="240" w:lineRule="auto"/>
    </w:pPr>
  </w:p>
  <w:p>
    <w:pPr>
      <w:tabs>
        <w:tab w:val="center" w:pos="4252"/>
        <w:tab w:val="right" w:pos="8504"/>
      </w:tabs>
      <w:spacing w:after="0" w:line="240" w:lineRule="auto"/>
    </w:pPr>
  </w:p>
  <w:p>
    <w:pPr>
      <w:tabs>
        <w:tab w:val="center" w:pos="4252"/>
        <w:tab w:val="right" w:pos="8504"/>
      </w:tabs>
      <w:spacing w:after="0" w:line="240" w:lineRule="auto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 xml:space="preserve">                                       </w:t>
    </w:r>
  </w:p>
  <w:p>
    <w:pPr>
      <w:tabs>
        <w:tab w:val="center" w:pos="4252"/>
        <w:tab w:val="right" w:pos="8504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pict>
        <v:shape id="_x0000_s4097" o:spid="_x0000_s4097" o:spt="75" type="#_x0000_t75" style="position:absolute;left:0pt;margin-left:-58.15pt;margin-top:-13pt;height:63pt;width:56.35pt;mso-wrap-distance-bottom:0pt;mso-wrap-distance-top:0pt;z-index:251659264;mso-width-relative:page;mso-height-relative:page;" o:ole="t" filled="f" o:preferrelative="t" stroked="f" coordsize="21600,21600">
          <v:path/>
          <v:fill on="f" focussize="0,0"/>
          <v:stroke on="f" joinstyle="miter"/>
          <v:imagedata r:id="rId2" o:title=""/>
          <o:lock v:ext="edit" aspectratio="t"/>
          <w10:wrap type="topAndBottom"/>
        </v:shape>
        <o:OLEObject Type="Embed" ProgID="Word.Picture.8" ShapeID="_x0000_s4097" DrawAspect="Content" ObjectID="_1468075725" r:id="rId1">
          <o:LockedField>false</o:LockedField>
        </o:OLEObject>
      </w:pict>
    </w:r>
    <w:r>
      <w:rPr>
        <w:rFonts w:ascii="Bodoni MT" w:hAnsi="Bodoni MT" w:eastAsia="Times New Roman"/>
        <w:b/>
        <w:smallCaps/>
        <w:sz w:val="24"/>
        <w:szCs w:val="24"/>
      </w:rPr>
      <w:t>Câmara Municipal de Piedade de Ponte Nova</w: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1091565</wp:posOffset>
              </wp:positionH>
              <wp:positionV relativeFrom="paragraph">
                <wp:posOffset>62865</wp:posOffset>
              </wp:positionV>
              <wp:extent cx="3429000" cy="0"/>
              <wp:effectExtent l="0" t="19050" r="0" b="19050"/>
              <wp:wrapNone/>
              <wp:docPr id="1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9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5.95pt;margin-top:4.95pt;height:0pt;width:270pt;z-index:251660288;mso-width-relative:page;mso-height-relative:page;" filled="f" stroked="t" coordsize="21600,21600" o:gfxdata="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uzokdzwAAAAcBAAAPAAAAAAAAAAEAIAAAACIAAABkcnMvZG93bnJl&#10;di54bWxQSwECFAAUAAAACACHTuJADwUArc0BAACpAwAADgAAAAAAAAABACAAAAAeAQAAZHJzL2Uy&#10;b0RvYy54bWxQSwUGAAAAAAYABgBZAQAAXQUAAAAA&#10;">
              <v:fill on="f" focussize="0,0"/>
              <v:stroke weight="3pt" color="#000000" joinstyle="round"/>
              <v:imagedata o:title=""/>
              <o:lock v:ext="edit" aspectratio="f"/>
            </v:line>
          </w:pict>
        </mc:Fallback>
      </mc:AlternateConten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>Rua Professor José Sátiro de Melo, 85 –  Centro – CEP: 35.382-000</w: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>CNPJ=00.907.927/0001-00    Telefax=31/3871-5110</w:t>
    </w:r>
  </w:p>
  <w:p>
    <w:pPr>
      <w:spacing w:after="0"/>
      <w:rPr>
        <w:b/>
        <w:sz w:val="34"/>
      </w:rPr>
    </w:pPr>
  </w:p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7A2A0F"/>
    <w:multiLevelType w:val="multilevel"/>
    <w:tmpl w:val="0E7A2A0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">
    <w:nsid w:val="0FACF5D3"/>
    <w:multiLevelType w:val="multilevel"/>
    <w:tmpl w:val="0FACF5D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1EF563B6"/>
    <w:multiLevelType w:val="multilevel"/>
    <w:tmpl w:val="1EF563B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3">
    <w:nsid w:val="3846265A"/>
    <w:multiLevelType w:val="multilevel"/>
    <w:tmpl w:val="3846265A"/>
    <w:lvl w:ilvl="0" w:tentative="0">
      <w:start w:val="1"/>
      <w:numFmt w:val="decimal"/>
      <w:lvlText w:val="%1."/>
      <w:lvlJc w:val="left"/>
      <w:pPr>
        <w:tabs>
          <w:tab w:val="left" w:pos="928"/>
        </w:tabs>
        <w:ind w:left="928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ocumentProtection w:enforcement="0"/>
  <w:defaultTabStop w:val="708"/>
  <w:hyphenationZone w:val="425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C2C"/>
    <w:rsid w:val="0002180E"/>
    <w:rsid w:val="000223F1"/>
    <w:rsid w:val="00080120"/>
    <w:rsid w:val="000C391E"/>
    <w:rsid w:val="000C4087"/>
    <w:rsid w:val="000D58EC"/>
    <w:rsid w:val="00103D49"/>
    <w:rsid w:val="00106805"/>
    <w:rsid w:val="00136330"/>
    <w:rsid w:val="001A0FD6"/>
    <w:rsid w:val="001B2373"/>
    <w:rsid w:val="001C2166"/>
    <w:rsid w:val="001D51B8"/>
    <w:rsid w:val="00254852"/>
    <w:rsid w:val="00260D1C"/>
    <w:rsid w:val="002903C4"/>
    <w:rsid w:val="002942E7"/>
    <w:rsid w:val="002E6752"/>
    <w:rsid w:val="003146FB"/>
    <w:rsid w:val="003207E2"/>
    <w:rsid w:val="0037350D"/>
    <w:rsid w:val="00381C02"/>
    <w:rsid w:val="003830E4"/>
    <w:rsid w:val="00396CA4"/>
    <w:rsid w:val="003A7CD7"/>
    <w:rsid w:val="003B4332"/>
    <w:rsid w:val="003D305A"/>
    <w:rsid w:val="003E1AE9"/>
    <w:rsid w:val="00431CAB"/>
    <w:rsid w:val="00435D46"/>
    <w:rsid w:val="0046442C"/>
    <w:rsid w:val="004B0EE7"/>
    <w:rsid w:val="004D1CAD"/>
    <w:rsid w:val="0054546B"/>
    <w:rsid w:val="00571F55"/>
    <w:rsid w:val="00634B48"/>
    <w:rsid w:val="0065161B"/>
    <w:rsid w:val="006D0D78"/>
    <w:rsid w:val="006F10DB"/>
    <w:rsid w:val="006F5F0B"/>
    <w:rsid w:val="0071536D"/>
    <w:rsid w:val="007426D3"/>
    <w:rsid w:val="00751AA7"/>
    <w:rsid w:val="007605D5"/>
    <w:rsid w:val="0076133C"/>
    <w:rsid w:val="00765F67"/>
    <w:rsid w:val="007863DA"/>
    <w:rsid w:val="007C6B32"/>
    <w:rsid w:val="007E6F92"/>
    <w:rsid w:val="007E70E0"/>
    <w:rsid w:val="00815212"/>
    <w:rsid w:val="0082053D"/>
    <w:rsid w:val="00823C2C"/>
    <w:rsid w:val="00835C4B"/>
    <w:rsid w:val="00865BFD"/>
    <w:rsid w:val="00885E00"/>
    <w:rsid w:val="008C0109"/>
    <w:rsid w:val="008D0FF2"/>
    <w:rsid w:val="008D2657"/>
    <w:rsid w:val="00934E9B"/>
    <w:rsid w:val="00953E8B"/>
    <w:rsid w:val="009B1EB3"/>
    <w:rsid w:val="009E6B80"/>
    <w:rsid w:val="009F1004"/>
    <w:rsid w:val="009F65F2"/>
    <w:rsid w:val="00A06671"/>
    <w:rsid w:val="00A070DD"/>
    <w:rsid w:val="00A16DCE"/>
    <w:rsid w:val="00A8596A"/>
    <w:rsid w:val="00A97F4F"/>
    <w:rsid w:val="00AA68EE"/>
    <w:rsid w:val="00AB259C"/>
    <w:rsid w:val="00AC33E5"/>
    <w:rsid w:val="00AE6963"/>
    <w:rsid w:val="00AF230D"/>
    <w:rsid w:val="00B01DDC"/>
    <w:rsid w:val="00B1168A"/>
    <w:rsid w:val="00B33C55"/>
    <w:rsid w:val="00B5545D"/>
    <w:rsid w:val="00B6581C"/>
    <w:rsid w:val="00B744C7"/>
    <w:rsid w:val="00BA5A9C"/>
    <w:rsid w:val="00BC4A40"/>
    <w:rsid w:val="00BF6027"/>
    <w:rsid w:val="00BF6DF6"/>
    <w:rsid w:val="00C50117"/>
    <w:rsid w:val="00C569B7"/>
    <w:rsid w:val="00C56E61"/>
    <w:rsid w:val="00C87D19"/>
    <w:rsid w:val="00C9030B"/>
    <w:rsid w:val="00CF02FE"/>
    <w:rsid w:val="00CF46A5"/>
    <w:rsid w:val="00CF74CD"/>
    <w:rsid w:val="00D1686D"/>
    <w:rsid w:val="00D47C09"/>
    <w:rsid w:val="00D75475"/>
    <w:rsid w:val="00DD1486"/>
    <w:rsid w:val="00DF4862"/>
    <w:rsid w:val="00DF553D"/>
    <w:rsid w:val="00E02325"/>
    <w:rsid w:val="00E33AFD"/>
    <w:rsid w:val="00E43ECB"/>
    <w:rsid w:val="00E63D0C"/>
    <w:rsid w:val="00EB5BEA"/>
    <w:rsid w:val="00ED5FBE"/>
    <w:rsid w:val="00EE3F89"/>
    <w:rsid w:val="00F41EFE"/>
    <w:rsid w:val="00F65C45"/>
    <w:rsid w:val="00F66328"/>
    <w:rsid w:val="00F77C93"/>
    <w:rsid w:val="00F94C1E"/>
    <w:rsid w:val="00FE0BC3"/>
    <w:rsid w:val="00FE3F26"/>
    <w:rsid w:val="03D0145A"/>
    <w:rsid w:val="28497715"/>
    <w:rsid w:val="2D496C70"/>
    <w:rsid w:val="3CDA1B39"/>
    <w:rsid w:val="440544DD"/>
    <w:rsid w:val="45F011CD"/>
    <w:rsid w:val="4AB56710"/>
    <w:rsid w:val="4CA05647"/>
    <w:rsid w:val="55444415"/>
    <w:rsid w:val="5DED0756"/>
    <w:rsid w:val="664876D2"/>
    <w:rsid w:val="6A826A44"/>
    <w:rsid w:val="6E295FDE"/>
    <w:rsid w:val="7BED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pt-BR" w:eastAsia="pt-BR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annotation reference"/>
    <w:basedOn w:val="2"/>
    <w:semiHidden/>
    <w:unhideWhenUsed/>
    <w:qFormat/>
    <w:uiPriority w:val="99"/>
    <w:rPr>
      <w:sz w:val="16"/>
      <w:szCs w:val="16"/>
    </w:rPr>
  </w:style>
  <w:style w:type="character" w:styleId="5">
    <w:name w:val="Hyperlink"/>
    <w:basedOn w:val="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annotation text"/>
    <w:basedOn w:val="1"/>
    <w:link w:val="19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7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8">
    <w:name w:val="header"/>
    <w:basedOn w:val="1"/>
    <w:link w:val="13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9">
    <w:name w:val="annotation subject"/>
    <w:basedOn w:val="6"/>
    <w:next w:val="6"/>
    <w:link w:val="20"/>
    <w:semiHidden/>
    <w:unhideWhenUsed/>
    <w:qFormat/>
    <w:uiPriority w:val="99"/>
    <w:rPr>
      <w:b/>
      <w:bCs/>
    </w:rPr>
  </w:style>
  <w:style w:type="paragraph" w:styleId="10">
    <w:name w:val="footer"/>
    <w:basedOn w:val="1"/>
    <w:link w:val="16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1">
    <w:name w:val="Balloon Text"/>
    <w:basedOn w:val="1"/>
    <w:link w:val="1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12">
    <w:name w:val="Table Grid"/>
    <w:basedOn w:val="3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3">
    <w:name w:val="Cabeçalho Char"/>
    <w:basedOn w:val="2"/>
    <w:link w:val="8"/>
    <w:qFormat/>
    <w:uiPriority w:val="99"/>
  </w:style>
  <w:style w:type="paragraph" w:styleId="14">
    <w:name w:val="List Paragraph"/>
    <w:basedOn w:val="1"/>
    <w:qFormat/>
    <w:uiPriority w:val="34"/>
    <w:pPr>
      <w:ind w:left="720"/>
      <w:contextualSpacing/>
    </w:pPr>
  </w:style>
  <w:style w:type="character" w:customStyle="1" w:styleId="15">
    <w:name w:val="Texto de balão Char"/>
    <w:basedOn w:val="2"/>
    <w:link w:val="11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6">
    <w:name w:val="Rodapé Char"/>
    <w:basedOn w:val="2"/>
    <w:link w:val="10"/>
    <w:qFormat/>
    <w:uiPriority w:val="99"/>
  </w:style>
  <w:style w:type="paragraph" w:styleId="1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pt-BR" w:eastAsia="pt-BR" w:bidi="ar-SA"/>
    </w:rPr>
  </w:style>
  <w:style w:type="character" w:customStyle="1" w:styleId="18">
    <w:name w:val="Unresolved Mention"/>
    <w:basedOn w:val="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9">
    <w:name w:val="Texto de comentário Char"/>
    <w:basedOn w:val="2"/>
    <w:link w:val="6"/>
    <w:semiHidden/>
    <w:qFormat/>
    <w:uiPriority w:val="99"/>
    <w:rPr>
      <w:sz w:val="20"/>
      <w:szCs w:val="20"/>
    </w:rPr>
  </w:style>
  <w:style w:type="character" w:customStyle="1" w:styleId="20">
    <w:name w:val="Assunto do comentário Char"/>
    <w:basedOn w:val="19"/>
    <w:link w:val="9"/>
    <w:semiHidden/>
    <w:qFormat/>
    <w:uiPriority w:val="99"/>
    <w:rPr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4DC8B3-1762-4591-B566-54CBF3FE12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2059</Words>
  <Characters>11124</Characters>
  <Lines>92</Lines>
  <Paragraphs>26</Paragraphs>
  <TotalTime>57</TotalTime>
  <ScaleCrop>false</ScaleCrop>
  <LinksUpToDate>false</LinksUpToDate>
  <CharactersWithSpaces>13157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2022-07-28T18:13:00Z</dcterms:created>
  <dc:creator>user</dc:creator>
  <cp:lastModifiedBy>camar</cp:lastModifiedBy>
  <cp:lastPrinted>2020-01-14T19:17:00Z</cp:lastPrinted>
  <dcterms:modified xsi:type="dcterms:W3CDTF">2024-01-17T17:18:52Z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1046-12.2.0.13359</vt:lpwstr>
  </property>
  <property fmtid="{D5CDD505-2E9C-101B-9397-08002B2CF9AE}" pid="3" name="ICV">
    <vt:lpwstr>466CD8A3BA54466293D9870F0253B7E9_13</vt:lpwstr>
  </property>
</Properties>
</file>